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17</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Seis (6)</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 </w:t>
            </w:r>
          </w:p>
        </w:tc>
      </w:tr>
      <w:tr>
        <w:trPr>
          <w:cantSplit w:val="0"/>
          <w:tblHeader w:val="0"/>
        </w:trPr>
        <w:tc>
          <w:tcPr>
            <w:tcBorders>
              <w:bottom w:color="000000" w:space="0" w:sz="4"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bottom w:color="000000" w:space="0" w:sz="4"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A">
            <w:pPr>
              <w:keepNext w:val="1"/>
              <w:tabs>
                <w:tab w:val="left" w:pos="1335"/>
                <w:tab w:val="center" w:pos="4556"/>
              </w:tabs>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B">
            <w:pPr>
              <w:keepNext w:val="1"/>
              <w:numPr>
                <w:ilvl w:val="0"/>
                <w:numId w:val="1"/>
              </w:numPr>
              <w:tabs>
                <w:tab w:val="left" w:pos="1335"/>
                <w:tab w:val="center" w:pos="4556"/>
              </w:tabs>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0">
            <w:pPr>
              <w:spacing w:after="0" w:lineRule="auto"/>
              <w:jc w:val="both"/>
              <w:rPr>
                <w:rFonts w:ascii="Arial" w:cs="Arial" w:eastAsia="Arial" w:hAnsi="Arial"/>
              </w:rPr>
            </w:pPr>
            <w:r w:rsidDel="00000000" w:rsidR="00000000" w:rsidRPr="00000000">
              <w:rPr>
                <w:rFonts w:ascii="Arial" w:cs="Arial" w:eastAsia="Arial" w:hAnsi="Arial"/>
                <w:rtl w:val="0"/>
              </w:rPr>
              <w:t xml:space="preserve">1. Participar en la formulación, diseño, organización, ejecución y control de planes que en materia ambiental defina el Plan de Acción Institucional en asuntos que sean de resorte de  la Subdirección de Gestión Ambiental y de su competencia.</w:t>
            </w:r>
          </w:p>
          <w:p w:rsidR="00000000" w:rsidDel="00000000" w:rsidP="00000000" w:rsidRDefault="00000000" w:rsidRPr="00000000" w14:paraId="00000041">
            <w:pPr>
              <w:spacing w:after="0" w:lineRule="auto"/>
              <w:jc w:val="both"/>
              <w:rPr>
                <w:rFonts w:ascii="Arial" w:cs="Arial" w:eastAsia="Arial" w:hAnsi="Arial"/>
              </w:rPr>
            </w:pPr>
            <w:r w:rsidDel="00000000" w:rsidR="00000000" w:rsidRPr="00000000">
              <w:rPr>
                <w:rFonts w:ascii="Arial" w:cs="Arial" w:eastAsia="Arial" w:hAnsi="Arial"/>
                <w:rtl w:val="0"/>
              </w:rPr>
              <w:t xml:space="preserve">2.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2">
            <w:pPr>
              <w:spacing w:after="0" w:lineRule="auto"/>
              <w:jc w:val="both"/>
              <w:rPr>
                <w:rFonts w:ascii="Arial" w:cs="Arial" w:eastAsia="Arial" w:hAnsi="Arial"/>
              </w:rPr>
            </w:pPr>
            <w:r w:rsidDel="00000000" w:rsidR="00000000" w:rsidRPr="00000000">
              <w:rPr>
                <w:rFonts w:ascii="Arial" w:cs="Arial" w:eastAsia="Arial" w:hAnsi="Arial"/>
                <w:rtl w:val="0"/>
              </w:rPr>
              <w:t xml:space="preserve">3. Proyectar los conceptos técnicos que sirvan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3">
            <w:pPr>
              <w:spacing w:after="0" w:lineRule="auto"/>
              <w:jc w:val="both"/>
              <w:rPr>
                <w:rFonts w:ascii="Arial" w:cs="Arial" w:eastAsia="Arial" w:hAnsi="Arial"/>
              </w:rPr>
            </w:pPr>
            <w:r w:rsidDel="00000000" w:rsidR="00000000" w:rsidRPr="00000000">
              <w:rPr>
                <w:rFonts w:ascii="Arial" w:cs="Arial" w:eastAsia="Arial" w:hAnsi="Arial"/>
                <w:rtl w:val="0"/>
              </w:rPr>
              <w:t xml:space="preserve">4. Brindar apoyo técnico a las entidades territoriales en la elaboración de proyectos en materia ambiental.</w:t>
            </w:r>
          </w:p>
          <w:p w:rsidR="00000000" w:rsidDel="00000000" w:rsidP="00000000" w:rsidRDefault="00000000" w:rsidRPr="00000000" w14:paraId="00000044">
            <w:pPr>
              <w:spacing w:after="0" w:lineRule="auto"/>
              <w:jc w:val="both"/>
              <w:rPr>
                <w:rFonts w:ascii="Arial" w:cs="Arial" w:eastAsia="Arial" w:hAnsi="Arial"/>
              </w:rPr>
            </w:pPr>
            <w:r w:rsidDel="00000000" w:rsidR="00000000" w:rsidRPr="00000000">
              <w:rPr>
                <w:rFonts w:ascii="Arial" w:cs="Arial" w:eastAsia="Arial" w:hAnsi="Arial"/>
                <w:rtl w:val="0"/>
              </w:rPr>
              <w:t xml:space="preserve">5. Resolver las peticiones, quejas, reclamos y denuncias – PQRD que sean de competencia de la Subdirección de Gestión Ambiental de manera oportuna, eficiente y eficaz.</w:t>
            </w:r>
          </w:p>
          <w:p w:rsidR="00000000" w:rsidDel="00000000" w:rsidP="00000000" w:rsidRDefault="00000000" w:rsidRPr="00000000" w14:paraId="00000045">
            <w:pPr>
              <w:spacing w:after="0" w:lineRule="auto"/>
              <w:jc w:val="both"/>
              <w:rPr>
                <w:rFonts w:ascii="Arial" w:cs="Arial" w:eastAsia="Arial" w:hAnsi="Arial"/>
              </w:rPr>
            </w:pPr>
            <w:r w:rsidDel="00000000" w:rsidR="00000000" w:rsidRPr="00000000">
              <w:rPr>
                <w:rFonts w:ascii="Arial" w:cs="Arial" w:eastAsia="Arial" w:hAnsi="Arial"/>
                <w:rtl w:val="0"/>
              </w:rPr>
              <w:t xml:space="preserve">6.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6">
            <w:pPr>
              <w:spacing w:after="0" w:lineRule="auto"/>
              <w:jc w:val="both"/>
              <w:rPr>
                <w:rFonts w:ascii="Arial" w:cs="Arial" w:eastAsia="Arial" w:hAnsi="Arial"/>
              </w:rPr>
            </w:pPr>
            <w:r w:rsidDel="00000000" w:rsidR="00000000" w:rsidRPr="00000000">
              <w:rPr>
                <w:rFonts w:ascii="Arial" w:cs="Arial" w:eastAsia="Arial" w:hAnsi="Arial"/>
                <w:rtl w:val="0"/>
              </w:rPr>
              <w:t xml:space="preserve">7. 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7">
            <w:pPr>
              <w:spacing w:after="0" w:lineRule="auto"/>
              <w:jc w:val="both"/>
              <w:rPr>
                <w:rFonts w:ascii="Arial" w:cs="Arial" w:eastAsia="Arial" w:hAnsi="Arial"/>
              </w:rPr>
            </w:pPr>
            <w:r w:rsidDel="00000000" w:rsidR="00000000" w:rsidRPr="00000000">
              <w:rPr>
                <w:rFonts w:ascii="Arial" w:cs="Arial" w:eastAsia="Arial" w:hAnsi="Arial"/>
                <w:rtl w:val="0"/>
              </w:rPr>
              <w:t xml:space="preserve">8. Coordinar y realizar estudios e investigaciones tendientes al logro de los objetivos, planes y programas de la entidad y preparar los informes respectivos, de acuerdo con las instrucciones recibidas</w:t>
            </w:r>
          </w:p>
          <w:p w:rsidR="00000000" w:rsidDel="00000000" w:rsidP="00000000" w:rsidRDefault="00000000" w:rsidRPr="00000000" w14:paraId="00000048">
            <w:pPr>
              <w:spacing w:after="0" w:lineRule="auto"/>
              <w:jc w:val="both"/>
              <w:rPr>
                <w:rFonts w:ascii="Arial" w:cs="Arial" w:eastAsia="Arial" w:hAnsi="Arial"/>
              </w:rPr>
            </w:pPr>
            <w:r w:rsidDel="00000000" w:rsidR="00000000" w:rsidRPr="00000000">
              <w:rPr>
                <w:rFonts w:ascii="Arial" w:cs="Arial" w:eastAsia="Arial" w:hAnsi="Arial"/>
                <w:rtl w:val="0"/>
              </w:rPr>
              <w:t xml:space="preserve">9. Mantener actualizados y/o entregar la información requerida por los sistemas de información internos y externos que establezca el Gobierno y la Corporación. </w:t>
            </w:r>
          </w:p>
          <w:p w:rsidR="00000000" w:rsidDel="00000000" w:rsidP="00000000" w:rsidRDefault="00000000" w:rsidRPr="00000000" w14:paraId="00000049">
            <w:pPr>
              <w:spacing w:after="0" w:lineRule="auto"/>
              <w:jc w:val="both"/>
              <w:rPr>
                <w:rFonts w:ascii="Arial" w:cs="Arial" w:eastAsia="Arial" w:hAnsi="Arial"/>
              </w:rPr>
            </w:pPr>
            <w:r w:rsidDel="00000000" w:rsidR="00000000" w:rsidRPr="00000000">
              <w:rPr>
                <w:rFonts w:ascii="Arial" w:cs="Arial" w:eastAsia="Arial" w:hAnsi="Arial"/>
                <w:rtl w:val="0"/>
              </w:rPr>
              <w:t xml:space="preserve">10.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A">
            <w:pPr>
              <w:spacing w:after="0" w:lineRule="auto"/>
              <w:jc w:val="both"/>
              <w:rPr>
                <w:rFonts w:ascii="Arial" w:cs="Arial" w:eastAsia="Arial" w:hAnsi="Arial"/>
              </w:rPr>
            </w:pPr>
            <w:r w:rsidDel="00000000" w:rsidR="00000000" w:rsidRPr="00000000">
              <w:rPr>
                <w:rFonts w:ascii="Arial" w:cs="Arial" w:eastAsia="Arial" w:hAnsi="Arial"/>
                <w:rtl w:val="0"/>
              </w:rPr>
              <w:t xml:space="preserve">11. Acompañar a la Entidad a las reuniones de los consejos, juntas, comités cuando sea convocado o delegado.</w:t>
            </w:r>
          </w:p>
          <w:p w:rsidR="00000000" w:rsidDel="00000000" w:rsidP="00000000" w:rsidRDefault="00000000" w:rsidRPr="00000000" w14:paraId="0000004B">
            <w:pPr>
              <w:spacing w:after="0" w:lineRule="auto"/>
              <w:jc w:val="both"/>
              <w:rPr>
                <w:rFonts w:ascii="Arial" w:cs="Arial" w:eastAsia="Arial" w:hAnsi="Arial"/>
              </w:rPr>
            </w:pPr>
            <w:r w:rsidDel="00000000" w:rsidR="00000000" w:rsidRPr="00000000">
              <w:rPr>
                <w:rFonts w:ascii="Arial" w:cs="Arial" w:eastAsia="Arial" w:hAnsi="Arial"/>
                <w:rtl w:val="0"/>
              </w:rPr>
              <w:t xml:space="preserve">12.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C">
            <w:pPr>
              <w:spacing w:after="0" w:lineRule="auto"/>
              <w:jc w:val="both"/>
              <w:rPr>
                <w:rFonts w:ascii="Arial" w:cs="Arial" w:eastAsia="Arial" w:hAnsi="Arial"/>
              </w:rPr>
            </w:pPr>
            <w:r w:rsidDel="00000000" w:rsidR="00000000" w:rsidRPr="00000000">
              <w:rPr>
                <w:rFonts w:ascii="Arial" w:cs="Arial" w:eastAsia="Arial" w:hAnsi="Arial"/>
                <w:rtl w:val="0"/>
              </w:rPr>
              <w:t xml:space="preserve">13.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D">
            <w:pPr>
              <w:spacing w:after="0" w:lineRule="auto"/>
              <w:jc w:val="both"/>
              <w:rPr>
                <w:rFonts w:ascii="Arial" w:cs="Arial" w:eastAsia="Arial" w:hAnsi="Arial"/>
              </w:rPr>
            </w:pPr>
            <w:r w:rsidDel="00000000" w:rsidR="00000000" w:rsidRPr="00000000">
              <w:rPr>
                <w:rFonts w:ascii="Arial" w:cs="Arial" w:eastAsia="Arial" w:hAnsi="Arial"/>
                <w:rtl w:val="0"/>
              </w:rPr>
              <w:t xml:space="preserve">14.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E">
            <w:pPr>
              <w:spacing w:after="0" w:lineRule="auto"/>
              <w:jc w:val="both"/>
              <w:rPr>
                <w:rFonts w:ascii="Arial" w:cs="Arial" w:eastAsia="Arial" w:hAnsi="Arial"/>
              </w:rPr>
            </w:pPr>
            <w:r w:rsidDel="00000000" w:rsidR="00000000" w:rsidRPr="00000000">
              <w:rPr>
                <w:rFonts w:ascii="Arial" w:cs="Arial" w:eastAsia="Arial" w:hAnsi="Arial"/>
                <w:rtl w:val="0"/>
              </w:rPr>
              <w:t xml:space="preserve">15. Las demás funciones asignadas por la autoridad competente, de acuerdo con el nivel, la naturaleza y el área de desempeño del cargo.</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57">
            <w:pPr>
              <w:spacing w:after="0" w:line="240" w:lineRule="auto"/>
              <w:ind w:left="360" w:firstLine="0"/>
              <w:rPr>
                <w:rFonts w:ascii="Arial" w:cs="Arial" w:eastAsia="Arial" w:hAnsi="Arial"/>
              </w:rPr>
            </w:pPr>
            <w:r w:rsidDel="00000000" w:rsidR="00000000" w:rsidRPr="00000000">
              <w:rPr>
                <w:rtl w:val="0"/>
              </w:rPr>
            </w:r>
          </w:p>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A">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B">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C">
            <w:pPr>
              <w:spacing w:after="0" w:line="24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D">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E">
            <w:pPr>
              <w:spacing w:after="0" w:line="24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F">
            <w:pPr>
              <w:spacing w:after="0" w:line="24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60">
            <w:pPr>
              <w:spacing w:after="0" w:line="24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61">
            <w:pPr>
              <w:spacing w:after="0" w:line="24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62">
            <w:pPr>
              <w:spacing w:after="0" w:line="24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63">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p w:rsidR="00000000" w:rsidDel="00000000" w:rsidP="00000000" w:rsidRDefault="00000000" w:rsidRPr="00000000" w14:paraId="00000064">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8">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69">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blHeader w:val="1"/>
        </w:trPr>
        <w:tc>
          <w:tcPr>
            <w:gridSpan w:val="3"/>
            <w:tcBorders>
              <w:top w:color="000000" w:space="0" w:sz="24" w:val="single"/>
            </w:tcBorders>
          </w:tcPr>
          <w:p w:rsidR="00000000" w:rsidDel="00000000" w:rsidP="00000000" w:rsidRDefault="00000000" w:rsidRPr="00000000" w14:paraId="0000006D">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6E">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71">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2">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1"/>
        </w:trPr>
        <w:tc>
          <w:tcPr>
            <w:gridSpan w:val="3"/>
            <w:tcBorders>
              <w:bottom w:color="000000" w:space="0" w:sz="24" w:val="single"/>
            </w:tcBorders>
          </w:tcPr>
          <w:p w:rsidR="00000000" w:rsidDel="00000000" w:rsidP="00000000" w:rsidRDefault="00000000" w:rsidRPr="00000000" w14:paraId="00000073">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4">
            <w:pPr>
              <w:spacing w:after="0" w:lineRule="auto"/>
              <w:jc w:val="both"/>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Agronómica, Pecuaria y afines;  Ingeniería Ambiental Sanitaria y afines.</w:t>
            </w:r>
          </w:p>
          <w:p w:rsidR="00000000" w:rsidDel="00000000" w:rsidP="00000000" w:rsidRDefault="00000000" w:rsidRPr="00000000" w14:paraId="00000075">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6">
            <w:pPr>
              <w:spacing w:after="0" w:lineRule="auto"/>
              <w:jc w:val="both"/>
              <w:rPr>
                <w:rFonts w:ascii="Arial" w:cs="Arial" w:eastAsia="Arial" w:hAnsi="Arial"/>
              </w:rPr>
            </w:pPr>
            <w:r w:rsidDel="00000000" w:rsidR="00000000" w:rsidRPr="00000000">
              <w:rPr>
                <w:rFonts w:ascii="Arial" w:cs="Arial" w:eastAsia="Arial" w:hAnsi="Arial"/>
                <w:rtl w:val="0"/>
              </w:rPr>
              <w:t xml:space="preserve">Título de postgrado en la modalidad de especialización  en el área  relacionada  en las  funciones del cargo.</w:t>
            </w:r>
          </w:p>
          <w:p w:rsidR="00000000" w:rsidDel="00000000" w:rsidP="00000000" w:rsidRDefault="00000000" w:rsidRPr="00000000" w14:paraId="00000077">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78">
            <w:pPr>
              <w:spacing w:after="0" w:lineRule="auto"/>
              <w:jc w:val="both"/>
              <w:rPr>
                <w:rFonts w:ascii="Arial" w:cs="Arial" w:eastAsia="Arial" w:hAnsi="Arial"/>
              </w:rPr>
            </w:pPr>
            <w:r w:rsidDel="00000000" w:rsidR="00000000" w:rsidRPr="00000000">
              <w:rPr>
                <w:rFonts w:ascii="Arial" w:cs="Arial" w:eastAsia="Arial" w:hAnsi="Arial"/>
                <w:rtl w:val="0"/>
              </w:rPr>
              <w:t xml:space="preserve">Tarjeta profesional en los casos reglamentados por la ley. </w:t>
            </w:r>
          </w:p>
        </w:tc>
        <w:tc>
          <w:tcPr>
            <w:tcBorders>
              <w:bottom w:color="000000" w:space="0" w:sz="24" w:val="single"/>
            </w:tcBorders>
            <w:vAlign w:val="center"/>
          </w:tcPr>
          <w:p w:rsidR="00000000" w:rsidDel="00000000" w:rsidP="00000000" w:rsidRDefault="00000000" w:rsidRPr="00000000" w14:paraId="0000007B">
            <w:pPr>
              <w:spacing w:after="0" w:lineRule="auto"/>
              <w:rPr>
                <w:rFonts w:ascii="Arial" w:cs="Arial" w:eastAsia="Arial" w:hAnsi="Arial"/>
              </w:rPr>
            </w:pPr>
            <w:r w:rsidDel="00000000" w:rsidR="00000000" w:rsidRPr="00000000">
              <w:rPr>
                <w:rFonts w:ascii="Arial" w:cs="Arial" w:eastAsia="Arial" w:hAnsi="Arial"/>
                <w:rtl w:val="0"/>
              </w:rPr>
              <w:t xml:space="preserve">Veintidós (22) meses de experiencia profesional relacionada.</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C">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D">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tcBorders>
          </w:tcPr>
          <w:p w:rsidR="00000000" w:rsidDel="00000000" w:rsidP="00000000" w:rsidRDefault="00000000" w:rsidRPr="00000000" w14:paraId="00000081">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84">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85">
            <w:pPr>
              <w:spacing w:after="0" w:lineRule="auto"/>
              <w:jc w:val="both"/>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Agronómica, Pecuaria y afines;  Ingeniería Ambiental Sanitaria y afines.</w:t>
            </w:r>
          </w:p>
          <w:p w:rsidR="00000000" w:rsidDel="00000000" w:rsidP="00000000" w:rsidRDefault="00000000" w:rsidRPr="00000000" w14:paraId="00000086">
            <w:pPr>
              <w:spacing w:after="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87">
            <w:pPr>
              <w:spacing w:after="0" w:lineRule="auto"/>
              <w:jc w:val="both"/>
              <w:rPr>
                <w:rFonts w:ascii="Arial" w:cs="Arial" w:eastAsia="Arial" w:hAnsi="Arial"/>
              </w:rPr>
            </w:pPr>
            <w:r w:rsidDel="00000000" w:rsidR="00000000" w:rsidRPr="00000000">
              <w:rPr>
                <w:rFonts w:ascii="Arial" w:cs="Arial" w:eastAsia="Arial" w:hAnsi="Arial"/>
                <w:rtl w:val="0"/>
              </w:rPr>
              <w:t xml:space="preserve">Tarjeta profesional en los casos reglamentados por la ley. </w:t>
            </w:r>
          </w:p>
        </w:tc>
        <w:tc>
          <w:tcPr>
            <w:gridSpan w:val="2"/>
            <w:tcBorders>
              <w:top w:color="000000" w:space="0" w:sz="6" w:val="single"/>
              <w:left w:color="000000" w:space="0" w:sz="6" w:val="single"/>
              <w:bottom w:color="000000" w:space="0" w:sz="24" w:val="single"/>
              <w:right w:color="000000" w:space="0" w:sz="6" w:val="single"/>
            </w:tcBorders>
            <w:vAlign w:val="center"/>
          </w:tcPr>
          <w:p w:rsidR="00000000" w:rsidDel="00000000" w:rsidP="00000000" w:rsidRDefault="00000000" w:rsidRPr="00000000" w14:paraId="00000089">
            <w:pPr>
              <w:spacing w:after="0" w:lineRule="auto"/>
              <w:rPr>
                <w:rFonts w:ascii="Arial" w:cs="Arial" w:eastAsia="Arial" w:hAnsi="Arial"/>
              </w:rPr>
            </w:pPr>
            <w:r w:rsidDel="00000000" w:rsidR="00000000" w:rsidRPr="00000000">
              <w:rPr>
                <w:rFonts w:ascii="Arial" w:cs="Arial" w:eastAsia="Arial" w:hAnsi="Arial"/>
                <w:rtl w:val="0"/>
              </w:rPr>
              <w:t xml:space="preserve">Cuarenta y seis (46)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B">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C">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90">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1">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94">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95">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7">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8">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9E">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F">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A0">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A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B">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B0">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B1">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B2">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B3">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4">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59503B"/>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59503B"/>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BL0EWm6/Zi04pPLI9zutTl1y/Q==">AMUW2mWmXdbuoQfnjqTdUEuYOCji2d7cpyNKh5vFQeIrCFcHsuG2sNxcJQpDj8SwH0HIkLF2CTp9wh6HJhAMN4WwZzK5K1e/e6fwwsQ2L6ovtK/FnZ1/4VA=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2021-12-30T15:00:00Z</dcterms:created>
  <dc:creator>LizethP</dc:creator>
</cp:coreProperties>
</file>