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1"/>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 </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Ocho (08)</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1"/>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PROPÓSITO PRINCIPAL DEL CARGO</w:t>
            </w:r>
          </w:p>
        </w:tc>
      </w:tr>
      <w:tr>
        <w:trPr>
          <w:cantSplit w:val="0"/>
          <w:tblHeader w:val="1"/>
        </w:trPr>
        <w:tc>
          <w:tcPr>
            <w:gridSpan w:val="4"/>
            <w:tcBorders>
              <w:top w:color="000000" w:space="0" w:sz="24" w:val="single"/>
              <w:bottom w:color="000000" w:space="0" w:sz="24"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jurídicas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3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1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2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que sean de competencia de la Subdirección de Gestión Ambiental de manera oportuna, eficiente y eficaz.</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jurídico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6 Suministrar a la Oficina Jurídica la información relacionada con los trámites ambientales que se requiera para la defensa judicial de la Corporación.</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7 Acompañar a la  Entidad a las reuniones, cuando sea convocado para tal fin</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8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9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10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F">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CONOCIMIENTOS BASICOS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4">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5">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7. Permisos y tramites ambientales</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8. Régimen sancionatorio</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9. Procedimiento administrativo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0">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REQUISITOS DE ESTUDIOS Y EXPERIENCIA </w:t>
            </w:r>
          </w:p>
        </w:tc>
      </w:tr>
      <w:tr>
        <w:trPr>
          <w:cantSplit w:val="0"/>
          <w:tblHeader w:val="0"/>
        </w:trPr>
        <w:tc>
          <w:tcPr>
            <w:gridSpan w:val="3"/>
            <w:tcBorders>
              <w:top w:color="000000" w:space="0" w:sz="24" w:val="single"/>
            </w:tcBorders>
          </w:tcPr>
          <w:p w:rsidR="00000000" w:rsidDel="00000000" w:rsidP="00000000" w:rsidRDefault="00000000" w:rsidRPr="00000000" w14:paraId="0000006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3"/>
            <w:tcBorders>
              <w:bottom w:color="000000" w:space="0" w:sz="24" w:val="single"/>
            </w:tcBorders>
          </w:tcPr>
          <w:p w:rsidR="00000000" w:rsidDel="00000000" w:rsidP="00000000" w:rsidRDefault="00000000" w:rsidRPr="00000000" w14:paraId="0000006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6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B">
            <w:pPr>
              <w:spacing w:after="0" w:lineRule="auto"/>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relacionada en las funciones del cargo.</w:t>
            </w:r>
          </w:p>
          <w:p w:rsidR="00000000" w:rsidDel="00000000" w:rsidP="00000000" w:rsidRDefault="00000000" w:rsidRPr="00000000" w14:paraId="0000006C">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D">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p w:rsidR="00000000" w:rsidDel="00000000" w:rsidP="00000000" w:rsidRDefault="00000000" w:rsidRPr="00000000" w14:paraId="0000006E">
            <w:pPr>
              <w:spacing w:after="0" w:lineRule="auto"/>
              <w:rPr>
                <w:rFonts w:ascii="Arial" w:cs="Arial" w:eastAsia="Arial" w:hAnsi="Arial"/>
              </w:rPr>
            </w:pPr>
            <w:r w:rsidDel="00000000" w:rsidR="00000000" w:rsidRPr="00000000">
              <w:rPr>
                <w:rtl w:val="0"/>
              </w:rPr>
            </w:r>
          </w:p>
        </w:tc>
        <w:tc>
          <w:tcPr>
            <w:tcBorders>
              <w:bottom w:color="000000" w:space="0" w:sz="24" w:val="single"/>
            </w:tcBorders>
            <w:vAlign w:val="center"/>
          </w:tcPr>
          <w:p w:rsidR="00000000" w:rsidDel="00000000" w:rsidP="00000000" w:rsidRDefault="00000000" w:rsidRPr="00000000" w14:paraId="00000071">
            <w:pPr>
              <w:spacing w:after="0" w:lineRule="auto"/>
              <w:rPr>
                <w:rFonts w:ascii="Arial" w:cs="Arial" w:eastAsia="Arial" w:hAnsi="Arial"/>
              </w:rPr>
            </w:pPr>
            <w:r w:rsidDel="00000000" w:rsidR="00000000" w:rsidRPr="00000000">
              <w:rPr>
                <w:rFonts w:ascii="Arial" w:cs="Arial" w:eastAsia="Arial" w:hAnsi="Arial"/>
                <w:rtl w:val="0"/>
              </w:rPr>
              <w:t xml:space="preserve">Trece (13)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2">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bottom w:color="000000" w:space="0" w:sz="24" w:val="single"/>
            </w:tcBorders>
          </w:tcPr>
          <w:p w:rsidR="00000000" w:rsidDel="00000000" w:rsidP="00000000" w:rsidRDefault="00000000" w:rsidRPr="00000000" w14:paraId="0000007A">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Derecho y afines.</w:t>
            </w:r>
          </w:p>
          <w:p w:rsidR="00000000" w:rsidDel="00000000" w:rsidP="00000000" w:rsidRDefault="00000000" w:rsidRPr="00000000" w14:paraId="0000007B">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p w:rsidR="00000000" w:rsidDel="00000000" w:rsidP="00000000" w:rsidRDefault="00000000" w:rsidRPr="00000000" w14:paraId="0000007D">
            <w:pPr>
              <w:spacing w:after="0" w:lineRule="auto"/>
              <w:rPr>
                <w:rFonts w:ascii="Arial" w:cs="Arial" w:eastAsia="Arial" w:hAnsi="Arial"/>
              </w:rPr>
            </w:pPr>
            <w:r w:rsidDel="00000000" w:rsidR="00000000" w:rsidRPr="00000000">
              <w:rPr>
                <w:rtl w:val="0"/>
              </w:rPr>
            </w:r>
          </w:p>
        </w:tc>
        <w:tc>
          <w:tcPr>
            <w:gridSpan w:val="2"/>
            <w:tcBorders>
              <w:bottom w:color="000000" w:space="0" w:sz="24" w:val="single"/>
            </w:tcBorders>
            <w:shd w:fill="auto" w:val="clear"/>
            <w:vAlign w:val="center"/>
          </w:tcPr>
          <w:p w:rsidR="00000000" w:rsidDel="00000000" w:rsidP="00000000" w:rsidRDefault="00000000" w:rsidRPr="00000000" w14:paraId="0000007F">
            <w:pPr>
              <w:spacing w:after="0" w:lineRule="auto"/>
              <w:rPr>
                <w:rFonts w:ascii="Arial" w:cs="Arial" w:eastAsia="Arial" w:hAnsi="Arial"/>
              </w:rPr>
            </w:pPr>
            <w:r w:rsidDel="00000000" w:rsidR="00000000" w:rsidRPr="00000000">
              <w:rPr>
                <w:rFonts w:ascii="Arial" w:cs="Arial" w:eastAsia="Arial" w:hAnsi="Arial"/>
                <w:rtl w:val="0"/>
              </w:rPr>
              <w:t xml:space="preserve">Treinta y siete (37)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6">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7">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A">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8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D">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Transparencia</w:t>
            </w:r>
          </w:p>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w:t>
            </w:r>
          </w:p>
        </w:tc>
        <w:tc>
          <w:tcPr/>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Experticia profesional</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 y Colaboración</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Creatividad e Innovación</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Liderazgo de Grupos de Trabajo.</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Toma de decisiones.</w:t>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7">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0">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EF4484"/>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EF4484"/>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Mk9TnGMwc+83xLAw8op2nkcE8g==">AMUW2mWrlKP3ZxhW5aiM5HLv/EmhOsu+GUKOIker768kkVXAYE6V9izPiAdRG3os/jCux1hGI0CgGdoQR+wzyAB+EoBGR5kgAhkPSSn9xwsOwWZLYJ9NoIk=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2022-01-03T20:33:00Z</dcterms:created>
  <dc:creator>LizethP</dc:creator>
</cp:coreProperties>
</file>